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EC" w:rsidRPr="006042EC" w:rsidRDefault="006042EC" w:rsidP="006042EC">
      <w:pPr>
        <w:snapToGrid w:val="0"/>
        <w:spacing w:before="0" w:beforeAutospacing="0" w:after="120" w:afterAutospacing="0" w:line="276" w:lineRule="auto"/>
        <w:ind w:firstLine="34"/>
        <w:jc w:val="center"/>
        <w:rPr>
          <w:rFonts w:ascii="Calibri" w:eastAsia="Calibri" w:hAnsi="Calibri" w:cs="Times New Roman"/>
          <w:lang w:val="ru-RU"/>
        </w:rPr>
      </w:pPr>
      <w:r w:rsidRPr="006042EC">
        <w:rPr>
          <w:rFonts w:ascii="Arial CYR" w:eastAsia="Calibri" w:hAnsi="Arial CYR" w:cs="Arial CYR"/>
          <w:noProof/>
          <w:lang w:val="ru-RU" w:eastAsia="ru-RU"/>
        </w:rPr>
        <w:drawing>
          <wp:inline distT="0" distB="0" distL="0" distR="0" wp14:anchorId="6AF272BD" wp14:editId="7228B25F">
            <wp:extent cx="560705" cy="591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EC" w:rsidRPr="006042EC" w:rsidRDefault="006042EC" w:rsidP="006042EC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ar-SA"/>
        </w:rPr>
      </w:pPr>
      <w:r w:rsidRPr="006042EC">
        <w:rPr>
          <w:rFonts w:ascii="Times New Roman" w:eastAsia="Calibri" w:hAnsi="Times New Roman" w:cs="Times New Roman"/>
          <w:b/>
          <w:sz w:val="16"/>
          <w:szCs w:val="16"/>
          <w:lang w:val="ru-RU" w:eastAsia="ar-SA"/>
        </w:rPr>
        <w:t>ПРАВИТЕЛЬСТВО САНКТ-ПЕТЕРБУРГА</w:t>
      </w:r>
    </w:p>
    <w:p w:rsidR="006042EC" w:rsidRPr="006042EC" w:rsidRDefault="006042EC" w:rsidP="006042EC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caps/>
          <w:sz w:val="16"/>
          <w:szCs w:val="16"/>
          <w:lang w:val="ru-RU" w:eastAsia="ar-SA"/>
        </w:rPr>
      </w:pPr>
      <w:r w:rsidRPr="006042EC">
        <w:rPr>
          <w:rFonts w:ascii="Times New Roman" w:eastAsia="Calibri" w:hAnsi="Times New Roman" w:cs="Times New Roman"/>
          <w:b/>
          <w:caps/>
          <w:sz w:val="16"/>
          <w:szCs w:val="16"/>
          <w:lang w:val="ru-RU" w:eastAsia="ar-SA"/>
        </w:rPr>
        <w:t>АДМИНИСТРАЦИЯ КУРОРТНОГО РАЙОНА</w:t>
      </w:r>
    </w:p>
    <w:p w:rsidR="006042EC" w:rsidRPr="006042EC" w:rsidRDefault="006042EC" w:rsidP="006042EC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ar-SA"/>
        </w:rPr>
      </w:pPr>
      <w:r w:rsidRPr="006042EC">
        <w:rPr>
          <w:rFonts w:ascii="Times New Roman" w:eastAsia="Calibri" w:hAnsi="Times New Roman" w:cs="Times New Roman"/>
          <w:b/>
          <w:caps/>
          <w:sz w:val="16"/>
          <w:szCs w:val="16"/>
          <w:lang w:val="ru-RU" w:eastAsia="ar-SA"/>
        </w:rPr>
        <w:t>САНКТ-ПЕТЕРБУРГА</w:t>
      </w:r>
    </w:p>
    <w:p w:rsidR="006042EC" w:rsidRPr="006042EC" w:rsidRDefault="006042EC" w:rsidP="006042EC">
      <w:pPr>
        <w:suppressAutoHyphens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16"/>
          <w:szCs w:val="16"/>
          <w:lang w:val="ru-RU" w:eastAsia="ar-SA"/>
        </w:rPr>
      </w:pPr>
      <w:r w:rsidRPr="006042EC">
        <w:rPr>
          <w:rFonts w:ascii="Times New Roman" w:eastAsia="Calibri" w:hAnsi="Times New Roman" w:cs="Times New Roman"/>
          <w:b/>
          <w:sz w:val="16"/>
          <w:szCs w:val="16"/>
          <w:lang w:val="ru-RU" w:eastAsia="ar-SA"/>
        </w:rPr>
        <w:t>ГОСУДАРСТВЕННОЕ БЮДЖЕТНОЕ ДОШКОЛЬНОЕ ОБРАЗОВАТЕЛЬНОЕ УЧРЕЖДЕНИЕ ДЕТСКИЙ САД № 24 КОМБИНИРОВАННОГО ВИДА КУРОРТНОГО РАЙОНА САНКТ-ПЕТЕРБУРГА</w:t>
      </w:r>
    </w:p>
    <w:p w:rsidR="006042EC" w:rsidRPr="006042EC" w:rsidRDefault="006042EC" w:rsidP="006042EC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88"/>
        <w:tblW w:w="0" w:type="auto"/>
        <w:tblLook w:val="01E0" w:firstRow="1" w:lastRow="1" w:firstColumn="1" w:lastColumn="1" w:noHBand="0" w:noVBand="0"/>
      </w:tblPr>
      <w:tblGrid>
        <w:gridCol w:w="4616"/>
        <w:gridCol w:w="4627"/>
      </w:tblGrid>
      <w:tr w:rsidR="006042EC" w:rsidRPr="006042EC" w:rsidTr="004371EC">
        <w:tc>
          <w:tcPr>
            <w:tcW w:w="4785" w:type="dxa"/>
            <w:hideMark/>
          </w:tcPr>
          <w:p w:rsidR="006042EC" w:rsidRPr="006042EC" w:rsidRDefault="006042EC" w:rsidP="006042EC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 w:eastAsia="ar-SA"/>
              </w:rPr>
            </w:pPr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 xml:space="preserve">Принято </w:t>
            </w:r>
          </w:p>
          <w:p w:rsidR="006042EC" w:rsidRPr="006042EC" w:rsidRDefault="006042EC" w:rsidP="006042EC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</w:pPr>
            <w:r w:rsidRPr="006042EC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 xml:space="preserve">Педагогическим советом ГБДОУ </w:t>
            </w:r>
          </w:p>
          <w:p w:rsidR="006042EC" w:rsidRPr="006042EC" w:rsidRDefault="006042EC" w:rsidP="006042EC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</w:pPr>
            <w:r w:rsidRPr="006042EC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 xml:space="preserve">№ 24 комбинированного вида Курортного района Санкт-Петербурга </w:t>
            </w:r>
          </w:p>
          <w:p w:rsidR="006042EC" w:rsidRPr="006042EC" w:rsidRDefault="006042EC" w:rsidP="006042EC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 w:eastAsia="ar-SA"/>
              </w:rPr>
            </w:pPr>
            <w:proofErr w:type="gramStart"/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>Протокол  от</w:t>
            </w:r>
            <w:proofErr w:type="gramEnd"/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 xml:space="preserve"> «__» ______ 202__ г. № </w:t>
            </w:r>
          </w:p>
        </w:tc>
        <w:tc>
          <w:tcPr>
            <w:tcW w:w="4785" w:type="dxa"/>
            <w:hideMark/>
          </w:tcPr>
          <w:p w:rsidR="006042EC" w:rsidRPr="006042EC" w:rsidRDefault="006042EC" w:rsidP="006042EC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 w:eastAsia="ar-SA"/>
              </w:rPr>
            </w:pPr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 xml:space="preserve">Утверждено </w:t>
            </w:r>
          </w:p>
          <w:p w:rsidR="006042EC" w:rsidRPr="006042EC" w:rsidRDefault="006042EC" w:rsidP="006042EC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 w:eastAsia="ar-SA"/>
              </w:rPr>
            </w:pPr>
            <w:proofErr w:type="gramStart"/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>Приказом  ГБДОУ</w:t>
            </w:r>
            <w:proofErr w:type="gramEnd"/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 xml:space="preserve">  детский сад № 24 комбинированного вида Курортного района Санкт-Петербурга от «__» ______ 202__ г. №</w:t>
            </w:r>
          </w:p>
          <w:p w:rsidR="006042EC" w:rsidRPr="006042EC" w:rsidRDefault="006042EC" w:rsidP="006042EC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lang w:val="ru-RU" w:eastAsia="ar-SA"/>
              </w:rPr>
            </w:pPr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>_________________</w:t>
            </w:r>
            <w:proofErr w:type="gramStart"/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>_  Стефановская</w:t>
            </w:r>
            <w:proofErr w:type="gramEnd"/>
            <w:r w:rsidRPr="006042EC">
              <w:rPr>
                <w:rFonts w:ascii="Times New Roman" w:eastAsia="Calibri" w:hAnsi="Times New Roman" w:cs="Times New Roman"/>
                <w:lang w:val="ru-RU" w:eastAsia="ar-SA"/>
              </w:rPr>
              <w:t xml:space="preserve"> Н.Н.</w:t>
            </w:r>
          </w:p>
        </w:tc>
      </w:tr>
    </w:tbl>
    <w:p w:rsidR="006042EC" w:rsidRPr="006042EC" w:rsidRDefault="006042EC" w:rsidP="006042E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lang w:val="ru-RU" w:eastAsia="ar-SA"/>
        </w:rPr>
      </w:pPr>
    </w:p>
    <w:p w:rsidR="006042EC" w:rsidRPr="006042EC" w:rsidRDefault="006042EC" w:rsidP="006042E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lang w:val="ru-RU" w:eastAsia="ar-SA"/>
        </w:rPr>
      </w:pPr>
      <w:r w:rsidRPr="006042EC">
        <w:rPr>
          <w:rFonts w:ascii="Times New Roman" w:eastAsia="Calibri" w:hAnsi="Times New Roman" w:cs="Times New Roman"/>
          <w:lang w:val="ru-RU" w:eastAsia="ar-SA"/>
        </w:rPr>
        <w:t xml:space="preserve">УЧТЕНО </w:t>
      </w:r>
    </w:p>
    <w:p w:rsidR="006042EC" w:rsidRPr="006042EC" w:rsidRDefault="006042EC" w:rsidP="006042E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lang w:val="ru-RU" w:eastAsia="ar-SA"/>
        </w:rPr>
      </w:pPr>
      <w:r w:rsidRPr="006042EC">
        <w:rPr>
          <w:rFonts w:ascii="Times New Roman" w:eastAsia="Calibri" w:hAnsi="Times New Roman" w:cs="Times New Roman"/>
          <w:lang w:val="ru-RU" w:eastAsia="ar-SA"/>
        </w:rPr>
        <w:t xml:space="preserve">Мнение совета родителей ГБДОУ </w:t>
      </w:r>
    </w:p>
    <w:p w:rsidR="006042EC" w:rsidRPr="006042EC" w:rsidRDefault="006042EC" w:rsidP="006042E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lang w:val="ru-RU" w:eastAsia="ar-SA"/>
        </w:rPr>
      </w:pPr>
      <w:proofErr w:type="gramStart"/>
      <w:r w:rsidRPr="006042EC">
        <w:rPr>
          <w:rFonts w:ascii="Times New Roman" w:eastAsia="Calibri" w:hAnsi="Times New Roman" w:cs="Times New Roman"/>
          <w:lang w:val="ru-RU" w:eastAsia="ar-SA"/>
        </w:rPr>
        <w:t>детский</w:t>
      </w:r>
      <w:proofErr w:type="gramEnd"/>
      <w:r w:rsidRPr="006042EC">
        <w:rPr>
          <w:rFonts w:ascii="Times New Roman" w:eastAsia="Calibri" w:hAnsi="Times New Roman" w:cs="Times New Roman"/>
          <w:lang w:val="ru-RU" w:eastAsia="ar-SA"/>
        </w:rPr>
        <w:t xml:space="preserve"> сад № 24 комбинированного вида </w:t>
      </w:r>
    </w:p>
    <w:p w:rsidR="006042EC" w:rsidRPr="006042EC" w:rsidRDefault="006042EC" w:rsidP="006042EC">
      <w:pPr>
        <w:suppressAutoHyphens/>
        <w:spacing w:before="0" w:beforeAutospacing="0" w:after="0" w:afterAutospacing="0"/>
        <w:rPr>
          <w:rFonts w:ascii="Times New Roman" w:eastAsia="Calibri" w:hAnsi="Times New Roman" w:cs="Times New Roman"/>
          <w:lang w:val="ru-RU" w:eastAsia="ar-SA"/>
        </w:rPr>
      </w:pPr>
      <w:r w:rsidRPr="006042EC">
        <w:rPr>
          <w:rFonts w:ascii="Times New Roman" w:eastAsia="Calibri" w:hAnsi="Times New Roman" w:cs="Times New Roman"/>
          <w:lang w:val="ru-RU" w:eastAsia="ar-SA"/>
        </w:rPr>
        <w:t>Курортного района Санкт-Петербурга</w:t>
      </w:r>
    </w:p>
    <w:p w:rsidR="006042EC" w:rsidRPr="006042EC" w:rsidRDefault="006042EC" w:rsidP="006042EC">
      <w:pPr>
        <w:spacing w:before="0" w:beforeAutospacing="0" w:after="0" w:afterAutospacing="0" w:line="276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6042EC">
        <w:rPr>
          <w:rFonts w:ascii="Times New Roman" w:eastAsia="Calibri" w:hAnsi="Times New Roman" w:cs="Times New Roman"/>
          <w:lang w:val="ru-RU" w:eastAsia="ar-SA"/>
        </w:rPr>
        <w:t>Протокол  от</w:t>
      </w:r>
      <w:proofErr w:type="gramEnd"/>
      <w:r w:rsidRPr="006042EC">
        <w:rPr>
          <w:rFonts w:ascii="Times New Roman" w:eastAsia="Calibri" w:hAnsi="Times New Roman" w:cs="Times New Roman"/>
          <w:lang w:val="ru-RU" w:eastAsia="ar-SA"/>
        </w:rPr>
        <w:t xml:space="preserve"> «__» ______ 202__ г. №</w:t>
      </w: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42EC" w:rsidRDefault="006042EC" w:rsidP="006042E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Проект р</w:t>
      </w:r>
      <w:r w:rsidR="009F29B5" w:rsidRPr="004071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абоч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ей</w:t>
      </w:r>
      <w:r w:rsidR="009F29B5" w:rsidRPr="004071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="009F29B5" w:rsidRPr="004071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воспитания </w:t>
      </w:r>
    </w:p>
    <w:p w:rsidR="00065077" w:rsidRPr="0040715E" w:rsidRDefault="006042EC" w:rsidP="006042E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2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</w:p>
    <w:p w:rsidR="00065077" w:rsidRPr="0040715E" w:rsidRDefault="0006507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042EC" w:rsidRPr="006042EC" w:rsidRDefault="006042EC" w:rsidP="006042E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042E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Санкт-Петербург</w:t>
      </w:r>
    </w:p>
    <w:p w:rsidR="006042EC" w:rsidRPr="006042EC" w:rsidRDefault="006042EC" w:rsidP="006042E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6042EC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1</w:t>
      </w:r>
    </w:p>
    <w:p w:rsidR="00065077" w:rsidRDefault="009F29B5" w:rsidP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</w:t>
      </w:r>
      <w:bookmarkStart w:id="0" w:name="_GoBack"/>
      <w:bookmarkEnd w:id="0"/>
      <w:r w:rsidRPr="0040715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держание</w:t>
      </w:r>
    </w:p>
    <w:p w:rsidR="006042EC" w:rsidRPr="0040715E" w:rsidRDefault="006042EC" w:rsidP="0040715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5077" w:rsidRPr="0040715E" w:rsidRDefault="009F29B5" w:rsidP="006042EC">
      <w:pPr>
        <w:pStyle w:val="a7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воспитательного процесса в детском саду</w:t>
      </w:r>
      <w:r w:rsidR="0040715E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………………………</w:t>
      </w:r>
      <w:r w:rsid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>…</w:t>
      </w:r>
      <w:r w:rsidR="0040715E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….</w:t>
      </w:r>
      <w:r w:rsid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 w:rsidR="0040715E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</w:p>
    <w:p w:rsidR="00065077" w:rsidRPr="006042EC" w:rsidRDefault="009F29B5" w:rsidP="006042EC">
      <w:pPr>
        <w:pStyle w:val="a7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задачи воспитания</w:t>
      </w:r>
      <w:r w:rsidR="0040715E" w:rsidRP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……………………………………………………………</w:t>
      </w:r>
      <w:r w:rsid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>... 5</w:t>
      </w:r>
    </w:p>
    <w:p w:rsidR="00065077" w:rsidRPr="006042EC" w:rsidRDefault="009F29B5" w:rsidP="006042EC">
      <w:pPr>
        <w:pStyle w:val="a7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  <w:r w:rsidR="0040715E" w:rsidRP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…………………………</w:t>
      </w:r>
      <w:r w:rsid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</w:t>
      </w:r>
    </w:p>
    <w:p w:rsidR="00065077" w:rsidRPr="006042EC" w:rsidRDefault="009F29B5" w:rsidP="006042EC">
      <w:pPr>
        <w:pStyle w:val="a7"/>
        <w:numPr>
          <w:ilvl w:val="0"/>
          <w:numId w:val="5"/>
        </w:numPr>
        <w:spacing w:line="60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  <w:r w:rsidR="0040715E" w:rsidRP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………………………</w:t>
      </w:r>
      <w:r w:rsidR="006042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</w:t>
      </w:r>
    </w:p>
    <w:p w:rsidR="00065077" w:rsidRPr="0040715E" w:rsidRDefault="0006507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5077" w:rsidRPr="0040715E" w:rsidRDefault="0006507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0715E" w:rsidRPr="0040715E" w:rsidRDefault="0040715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65077" w:rsidRPr="006042EC" w:rsidRDefault="009F29B5" w:rsidP="006042EC">
      <w:pPr>
        <w:pStyle w:val="a7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Особенности воспитательного процесса в детском саду</w:t>
      </w:r>
      <w:r w:rsidR="006042EC"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рования предпосылок учебной деятельности.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роводные т.п.).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Воспитательный процесс в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="0040715E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организуется в развивающей среде, которая образуется с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овокупностью природных, предметных, социальных условий и пространством собственного «Я» </w:t>
      </w: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функци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Приоритетным в воспитательном процессе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физиче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отказался от жесткой регламе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игр, упражнений, занятий физкультурой, организации детского туризма, самостоятельной двигательной деятельности и т.п.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065077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важно интегрировать семейное и общественное дошкольное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й, походов, экскурсий и др.</w:t>
      </w:r>
    </w:p>
    <w:p w:rsidR="006042EC" w:rsidRPr="0040715E" w:rsidRDefault="006042EC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65077" w:rsidRPr="006042EC" w:rsidRDefault="009F29B5" w:rsidP="006042E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Цель и задачи воспитания</w:t>
      </w:r>
      <w:r w:rsidR="006042EC"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будущее своей страны, укоренённый в духовных и культурных традициях многонационального народа Российской Федерации.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рода, мир, знания, культура, здоровье, человек) формулируется общая цель воспитания в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="0040715E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личностное развитие воспитанников, проявляющееся: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 усвоении ими знаний основных норм, которые общество выработало на основе этих ценностей (то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есть, в усвоении ими социально значимых знаний);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в приобретении ими соответствующего этим ценностям опыта поведения, опыта примене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сформированных знаний и отношений на практике (то есть в приобретении ими опыта осуществления социально значимых дел).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остижению поставленной цели воспитания дошкольников будет способствовать решение следующих основных задач:</w:t>
      </w:r>
    </w:p>
    <w:p w:rsidR="00065077" w:rsidRPr="0040715E" w:rsidRDefault="009F29B5" w:rsidP="0040715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социальных, нравственных, физических, интеллектуальных, эстетических качеств; создание благоприятных условий для гармоничного развития каждо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ребенка в соответствии с его возрастными, гендерными, индивидуальными особенностями и склонностями;</w:t>
      </w:r>
    </w:p>
    <w:p w:rsidR="00065077" w:rsidRPr="0040715E" w:rsidRDefault="009F29B5" w:rsidP="0040715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общей культуры личности, в том числе ценностей здорового и устойчивого образа жизни, инициативности, самостоятельности и ответственности, ак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тивной жизненной позиции;</w:t>
      </w:r>
    </w:p>
    <w:p w:rsidR="00065077" w:rsidRPr="0040715E" w:rsidRDefault="009F29B5" w:rsidP="0040715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способностей и творческого потенциала каждого ребенка;</w:t>
      </w:r>
    </w:p>
    <w:p w:rsidR="00065077" w:rsidRPr="0040715E" w:rsidRDefault="009F29B5" w:rsidP="0040715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организация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ека;</w:t>
      </w:r>
    </w:p>
    <w:p w:rsidR="00065077" w:rsidRPr="0040715E" w:rsidRDefault="009F29B5" w:rsidP="0040715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65077" w:rsidRPr="0040715E" w:rsidRDefault="009F29B5" w:rsidP="0040715E">
      <w:pPr>
        <w:numPr>
          <w:ilvl w:val="0"/>
          <w:numId w:val="1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чувства собственного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065077" w:rsidRPr="0040715E" w:rsidRDefault="009F29B5" w:rsidP="0040715E">
      <w:pPr>
        <w:numPr>
          <w:ilvl w:val="0"/>
          <w:numId w:val="1"/>
        </w:numPr>
        <w:spacing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объединение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воспитательных ресурсов семьи и дошкольной организации на основе традиционных д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тей.</w:t>
      </w:r>
    </w:p>
    <w:p w:rsidR="00065077" w:rsidRPr="006042EC" w:rsidRDefault="009F29B5" w:rsidP="006042E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Виды, формы и содержание воспитательной деятельности</w:t>
      </w:r>
      <w:r w:rsidR="006042EC"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Каждое из них представлено в соответствующем модуле.</w:t>
      </w:r>
    </w:p>
    <w:p w:rsidR="00065077" w:rsidRPr="006042EC" w:rsidRDefault="006042EC" w:rsidP="006042EC">
      <w:pPr>
        <w:pStyle w:val="a7"/>
        <w:numPr>
          <w:ilvl w:val="1"/>
          <w:numId w:val="9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29B5"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1. Творческие соревнования</w:t>
      </w:r>
      <w:r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воспитания, интеграция воспитательных усилий.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40715E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Творческие соревнования стимулируют у воспитанников развитие: сенсорных способностей; чувства ритма, цвета, композиции;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выражать в художественных образах свои творческие способности.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учится относиться к соревнованиям серьезно, знакомясь с положениями, условиями и системой оценки.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льтуры по подготовке и поддержке своего ребенка в участии в конкурсах.</w:t>
      </w:r>
    </w:p>
    <w:p w:rsidR="00065077" w:rsidRPr="0040715E" w:rsidRDefault="0040715E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29B5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</w:t>
      </w:r>
      <w:r w:rsidR="009F29B5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ендарным планом воспитательной работы МБДОУ Детский сад № 3.</w:t>
      </w:r>
    </w:p>
    <w:p w:rsidR="00065077" w:rsidRPr="0040715E" w:rsidRDefault="0040715E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29B5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</w:t>
      </w:r>
      <w:r w:rsidR="009F29B5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Через весь процесс подготовки, организации и проведения твор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:rsidR="00065077" w:rsidRPr="006042EC" w:rsidRDefault="006042EC" w:rsidP="006042EC">
      <w:pPr>
        <w:pStyle w:val="a7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29B5"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2. Праздники</w:t>
      </w:r>
      <w:r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Праздники благотворно влияют на развитие психических процессов ре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снизить утомляемость дет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Подготовка к празднику является отличным стимулом для детей на занятиях по развитию речи и музыке. Мал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последнее место в мотивации ребенка. Таки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Во-вторых, праздник – это возможность для родителей получить п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редставление о том, какие у ребенка взаимоотношения с коллективом и с другими детьми.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моменты, над котор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 стоит поработать дома. Помимо этого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вправе не приглашать на праздники в ясельных группах, п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:rsidR="00065077" w:rsidRPr="0040715E" w:rsidRDefault="0040715E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F29B5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пр</w:t>
      </w:r>
      <w:r w:rsidR="009F29B5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аздники в форме тематических мероприятий, например, праздник осени, новый год, рождество, мамин праздник, день Победы, а также утренников. Конкретная форма проведения праздника определяется календарным планом воспитательной работы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="009F29B5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5077" w:rsidRPr="006042EC" w:rsidRDefault="006042EC" w:rsidP="006042EC">
      <w:pPr>
        <w:pStyle w:val="a7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F29B5"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</w:t>
      </w:r>
      <w:r w:rsidR="009F29B5"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дуль 3. Фольклорные мероприятия</w:t>
      </w:r>
      <w:r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етей с отечественными традициями и праздниками, многообразием стран и народов мира, их обычаями.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работы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Педагоги,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ки (игрушки разных народов России, где их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изготовляют; особенности народных деревянных, глиняных, соломенных, тряпичных игрушек и т. д.) невозможно без посещения музеев, выставок, конкурсов. Дошкольнику не обойтись без помощи взрослого при рисовании «Инфор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мационных карточек», изготовлении игрушек.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:rsidR="00065077" w:rsidRPr="0040715E" w:rsidRDefault="009F29B5" w:rsidP="0040715E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духовно-нравственных норм и ценностей;</w:t>
      </w:r>
    </w:p>
    <w:p w:rsidR="00065077" w:rsidRPr="0040715E" w:rsidRDefault="009F29B5" w:rsidP="0040715E">
      <w:pPr>
        <w:numPr>
          <w:ilvl w:val="0"/>
          <w:numId w:val="2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раскрепощение</w:t>
      </w:r>
      <w:proofErr w:type="spellEnd"/>
      <w:r w:rsidRPr="0040715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снятие</w:t>
      </w:r>
      <w:proofErr w:type="spellEnd"/>
      <w:r w:rsidRPr="00407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эмоционального</w:t>
      </w:r>
      <w:proofErr w:type="spellEnd"/>
      <w:r w:rsidRPr="00407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напряжения</w:t>
      </w:r>
      <w:proofErr w:type="spellEnd"/>
      <w:r w:rsidRPr="004071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5077" w:rsidRPr="0040715E" w:rsidRDefault="009F29B5" w:rsidP="0040715E">
      <w:pPr>
        <w:numPr>
          <w:ilvl w:val="0"/>
          <w:numId w:val="2"/>
        </w:numPr>
        <w:spacing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социализация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</w:rPr>
        <w:t>, ра</w:t>
      </w:r>
      <w:r w:rsidRPr="0040715E">
        <w:rPr>
          <w:rFonts w:ascii="Times New Roman" w:hAnsi="Times New Roman" w:cs="Times New Roman"/>
          <w:color w:val="000000"/>
          <w:sz w:val="24"/>
          <w:szCs w:val="24"/>
        </w:rPr>
        <w:t>звитие коммуникативных навыков.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:rsidR="00065077" w:rsidRPr="006042EC" w:rsidRDefault="009F29B5" w:rsidP="006042EC">
      <w:pPr>
        <w:pStyle w:val="a7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Основные направления самоанализа воспитательной работы</w:t>
      </w:r>
      <w:r w:rsidR="006042EC" w:rsidRPr="006042E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Самоанализ организуемой в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="0040715E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следующего их решения.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Основными принципами, на основе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которых осуществляется самоанализ воспитательной работы в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являются:</w:t>
      </w:r>
    </w:p>
    <w:p w:rsidR="00065077" w:rsidRPr="0040715E" w:rsidRDefault="009F29B5" w:rsidP="0040715E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воспитательный процесс;</w:t>
      </w:r>
    </w:p>
    <w:p w:rsidR="00065077" w:rsidRPr="0040715E" w:rsidRDefault="009F29B5" w:rsidP="0040715E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воспитанниками и педагогами;</w:t>
      </w:r>
    </w:p>
    <w:p w:rsidR="00065077" w:rsidRPr="0040715E" w:rsidRDefault="009F29B5" w:rsidP="0040715E">
      <w:pPr>
        <w:numPr>
          <w:ilvl w:val="0"/>
          <w:numId w:val="3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лого планирования своей воспитательной работы,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адекватного подбора видов, форм и содержания их совместной с детьми деятельности;</w:t>
      </w:r>
    </w:p>
    <w:p w:rsidR="00065077" w:rsidRPr="0040715E" w:rsidRDefault="009F29B5" w:rsidP="0040715E">
      <w:pPr>
        <w:numPr>
          <w:ilvl w:val="0"/>
          <w:numId w:val="3"/>
        </w:numPr>
        <w:spacing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разделенной ответственности за результаты личностного развития воспитанников, ориентирующий экспертов на понимание того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Направления анализа зависят от анализируемых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объектов. </w:t>
      </w:r>
      <w:r w:rsidRPr="006042E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Основными объектами анализа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организуемого в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="0040715E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воспитательного процесса являются: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Результаты воспитания, социализации и саморазвития дошкольников.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динамика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личностного развития воспитанника каждой группы.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</w:t>
      </w:r>
      <w:proofErr w:type="spellStart"/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</w:t>
      </w:r>
      <w:proofErr w:type="spellEnd"/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педагогического консилиума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Способо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Состояние организуемой в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совместной деятельности дет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 и взрослых.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анализ заместителем заведующего и старшим воспитателем, в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оспитателями.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Способами получения информации о состоянии организуемой в детском саду совместной деятельности детей и взрослых могут быть беседы со родителями, педагогами, при необходимости – их анкетирование. Полученные результаты обсуждаются на заседании педагогическог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совета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Внимание при этом сосредотачивается на вопросах, связанных с:</w:t>
      </w:r>
    </w:p>
    <w:p w:rsidR="00065077" w:rsidRPr="0040715E" w:rsidRDefault="009F29B5" w:rsidP="0040715E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качеством</w:t>
      </w:r>
      <w:proofErr w:type="spellEnd"/>
      <w:r w:rsidRPr="00407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проводимых</w:t>
      </w:r>
      <w:proofErr w:type="spellEnd"/>
      <w:r w:rsidRPr="00407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общесадовских</w:t>
      </w:r>
      <w:proofErr w:type="spellEnd"/>
      <w:r w:rsidRPr="00407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715E">
        <w:rPr>
          <w:rFonts w:ascii="Times New Roman" w:hAnsi="Times New Roman" w:cs="Times New Roman"/>
          <w:color w:val="000000"/>
          <w:sz w:val="24"/>
          <w:szCs w:val="24"/>
        </w:rPr>
        <w:t>мероприятий</w:t>
      </w:r>
      <w:proofErr w:type="spellEnd"/>
      <w:r w:rsidRPr="0040715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65077" w:rsidRPr="0040715E" w:rsidRDefault="009F29B5" w:rsidP="0040715E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качеством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совместной деятельности воспитателей и родителей;</w:t>
      </w:r>
    </w:p>
    <w:p w:rsidR="00065077" w:rsidRPr="0040715E" w:rsidRDefault="009F29B5" w:rsidP="0040715E">
      <w:pPr>
        <w:numPr>
          <w:ilvl w:val="0"/>
          <w:numId w:val="4"/>
        </w:numPr>
        <w:spacing w:line="276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качеством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проводимых экскурсий, экспедиций, походов;</w:t>
      </w:r>
    </w:p>
    <w:p w:rsidR="00065077" w:rsidRPr="0040715E" w:rsidRDefault="009F29B5" w:rsidP="0040715E">
      <w:pPr>
        <w:numPr>
          <w:ilvl w:val="0"/>
          <w:numId w:val="4"/>
        </w:numPr>
        <w:spacing w:line="276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качеством</w:t>
      </w:r>
      <w:proofErr w:type="gramEnd"/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творческих соревнований, праздников и фольклорных мероприятий.</w:t>
      </w:r>
    </w:p>
    <w:p w:rsidR="00065077" w:rsidRPr="0040715E" w:rsidRDefault="009F29B5" w:rsidP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Итогом самоанализа организуемой воспитательной работы в </w:t>
      </w:r>
      <w:r w:rsid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ГБДОУ детский сад №24 Курортного района Санкт-Петербурга</w:t>
      </w:r>
      <w:r w:rsidR="0040715E"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перечень выявленных проблем, над которыми предстоит работать педагогическому коллект</w:t>
      </w:r>
      <w:r w:rsidRPr="00407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иву.</w:t>
      </w:r>
    </w:p>
    <w:p w:rsidR="0040715E" w:rsidRPr="0040715E" w:rsidRDefault="0040715E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40715E" w:rsidRPr="0040715E" w:rsidSect="0040715E">
      <w:footerReference w:type="default" r:id="rId8"/>
      <w:pgSz w:w="11907" w:h="1683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B5" w:rsidRDefault="009F29B5" w:rsidP="0040715E">
      <w:pPr>
        <w:spacing w:before="0" w:after="0"/>
      </w:pPr>
      <w:r>
        <w:separator/>
      </w:r>
    </w:p>
  </w:endnote>
  <w:endnote w:type="continuationSeparator" w:id="0">
    <w:p w:rsidR="009F29B5" w:rsidRDefault="009F29B5" w:rsidP="004071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3853251"/>
      <w:docPartObj>
        <w:docPartGallery w:val="Page Numbers (Bottom of Page)"/>
        <w:docPartUnique/>
      </w:docPartObj>
    </w:sdtPr>
    <w:sdtContent>
      <w:p w:rsidR="0040715E" w:rsidRDefault="004071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1F0" w:rsidRPr="00C651F0">
          <w:rPr>
            <w:noProof/>
            <w:lang w:val="ru-RU"/>
          </w:rPr>
          <w:t>11</w:t>
        </w:r>
        <w:r>
          <w:fldChar w:fldCharType="end"/>
        </w:r>
      </w:p>
    </w:sdtContent>
  </w:sdt>
  <w:p w:rsidR="0040715E" w:rsidRDefault="004071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B5" w:rsidRDefault="009F29B5" w:rsidP="0040715E">
      <w:pPr>
        <w:spacing w:before="0" w:after="0"/>
      </w:pPr>
      <w:r>
        <w:separator/>
      </w:r>
    </w:p>
  </w:footnote>
  <w:footnote w:type="continuationSeparator" w:id="0">
    <w:p w:rsidR="009F29B5" w:rsidRDefault="009F29B5" w:rsidP="004071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11E"/>
    <w:multiLevelType w:val="hybridMultilevel"/>
    <w:tmpl w:val="BDA4D508"/>
    <w:lvl w:ilvl="0" w:tplc="93A0EB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E734F"/>
    <w:multiLevelType w:val="multilevel"/>
    <w:tmpl w:val="D138FB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">
    <w:nsid w:val="0EE510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24BE8"/>
    <w:multiLevelType w:val="multilevel"/>
    <w:tmpl w:val="7BB688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26EA16A9"/>
    <w:multiLevelType w:val="hybridMultilevel"/>
    <w:tmpl w:val="E4BEDE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4F53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95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55CDF"/>
    <w:multiLevelType w:val="hybridMultilevel"/>
    <w:tmpl w:val="F2507B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5E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5077"/>
    <w:rsid w:val="002D33B1"/>
    <w:rsid w:val="002D3591"/>
    <w:rsid w:val="003514A0"/>
    <w:rsid w:val="0040715E"/>
    <w:rsid w:val="004F7E17"/>
    <w:rsid w:val="005A05CE"/>
    <w:rsid w:val="006042EC"/>
    <w:rsid w:val="00653AF6"/>
    <w:rsid w:val="009F29B5"/>
    <w:rsid w:val="00B73A5A"/>
    <w:rsid w:val="00C651F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592C73-B04F-45DD-84ED-1DD1F950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0715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0715E"/>
  </w:style>
  <w:style w:type="paragraph" w:styleId="a5">
    <w:name w:val="footer"/>
    <w:basedOn w:val="a"/>
    <w:link w:val="a6"/>
    <w:uiPriority w:val="99"/>
    <w:unhideWhenUsed/>
    <w:rsid w:val="0040715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0715E"/>
  </w:style>
  <w:style w:type="paragraph" w:styleId="a7">
    <w:name w:val="List Paragraph"/>
    <w:basedOn w:val="a"/>
    <w:uiPriority w:val="34"/>
    <w:qFormat/>
    <w:rsid w:val="0040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3107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Методист</dc:creator>
  <dc:description>Подготовлено экспертами Актион-МЦФЭР</dc:description>
  <cp:lastModifiedBy>Методист</cp:lastModifiedBy>
  <cp:revision>2</cp:revision>
  <dcterms:created xsi:type="dcterms:W3CDTF">2021-06-10T10:38:00Z</dcterms:created>
  <dcterms:modified xsi:type="dcterms:W3CDTF">2021-06-10T10:38:00Z</dcterms:modified>
</cp:coreProperties>
</file>